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9DD" w:rsidRDefault="000339DD" w:rsidP="00DF09DC">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09DC" w:rsidRPr="0069694B" w:rsidRDefault="00DF09DC" w:rsidP="00DF09DC">
      <w:pPr>
        <w:spacing w:before="100" w:beforeAutospacing="1" w:after="100" w:afterAutospacing="1" w:line="240" w:lineRule="auto"/>
        <w:ind w:left="2880" w:hanging="2880"/>
        <w:jc w:val="center"/>
        <w:rPr>
          <w:rFonts w:ascii="Arial" w:hAnsi="Arial" w:cs="Arial"/>
          <w:b/>
          <w:bCs/>
          <w:sz w:val="26"/>
          <w:szCs w:val="26"/>
          <w:u w:val="single"/>
        </w:rPr>
      </w:pPr>
      <w:r w:rsidRPr="00DF09DC">
        <w:rPr>
          <w:rFonts w:ascii="Arial" w:hAnsi="Arial" w:cs="Arial"/>
          <w:b/>
          <w:bCs/>
          <w:sz w:val="26"/>
          <w:szCs w:val="26"/>
          <w:u w:val="single"/>
        </w:rPr>
        <w:t>March 4th, 2020 -</w:t>
      </w:r>
      <w:bookmarkStart w:id="0" w:name="_GoBack"/>
      <w:bookmarkEnd w:id="0"/>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proofErr w:type="gramStart"/>
      <w:r w:rsidRPr="004951F4">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proofErr w:type="gramStart"/>
      <w:r w:rsidRPr="00F84EB0">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 xml:space="preserve">storm </w:t>
      </w:r>
      <w:r w:rsidR="00F7605D" w:rsidRPr="004D2734">
        <w:rPr>
          <w:rFonts w:ascii="Arial" w:hAnsi="Arial" w:cs="Arial"/>
          <w:sz w:val="20"/>
          <w:szCs w:val="20"/>
        </w:rPr>
        <w:lastRenderedPageBreak/>
        <w:t>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lastRenderedPageBreak/>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lastRenderedPageBreak/>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lastRenderedPageBreak/>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lastRenderedPageBreak/>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lastRenderedPageBreak/>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lastRenderedPageBreak/>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lastRenderedPageBreak/>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lastRenderedPageBreak/>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lastRenderedPageBreak/>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lastRenderedPageBreak/>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6CF5A91"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0026C"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lastRenderedPageBreak/>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lastRenderedPageBreak/>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w:t>
      </w:r>
      <w:r w:rsidR="00991B78">
        <w:rPr>
          <w:rFonts w:ascii="Arial" w:hAnsi="Arial" w:cs="Arial"/>
          <w:sz w:val="20"/>
          <w:szCs w:val="20"/>
        </w:rPr>
        <w:lastRenderedPageBreak/>
        <w:t xml:space="preserve">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lastRenderedPageBreak/>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w:t>
      </w:r>
      <w:r w:rsidR="004317C9">
        <w:rPr>
          <w:rFonts w:ascii="Arial" w:hAnsi="Arial" w:cs="Arial"/>
          <w:sz w:val="20"/>
          <w:szCs w:val="20"/>
        </w:rPr>
        <w:lastRenderedPageBreak/>
        <w:t xml:space="preserve">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lastRenderedPageBreak/>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w:t>
      </w:r>
      <w:r w:rsidR="00D83811">
        <w:rPr>
          <w:rFonts w:ascii="Arial" w:hAnsi="Arial" w:cs="Arial"/>
          <w:bCs/>
          <w:sz w:val="20"/>
          <w:szCs w:val="20"/>
        </w:rPr>
        <w:lastRenderedPageBreak/>
        <w:t>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w:t>
      </w:r>
      <w:r>
        <w:rPr>
          <w:rFonts w:ascii="Arial" w:hAnsi="Arial" w:cs="Arial"/>
          <w:sz w:val="20"/>
          <w:szCs w:val="20"/>
        </w:rPr>
        <w:lastRenderedPageBreak/>
        <w:t xml:space="preserve">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40E75"/>
    <w:multiLevelType w:val="hybridMultilevel"/>
    <w:tmpl w:val="963C06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1"/>
  </w:num>
  <w:num w:numId="2">
    <w:abstractNumId w:val="6"/>
  </w:num>
  <w:num w:numId="3">
    <w:abstractNumId w:val="12"/>
  </w:num>
  <w:num w:numId="4">
    <w:abstractNumId w:val="7"/>
  </w:num>
  <w:num w:numId="5">
    <w:abstractNumId w:val="3"/>
  </w:num>
  <w:num w:numId="6">
    <w:abstractNumId w:val="13"/>
  </w:num>
  <w:num w:numId="7">
    <w:abstractNumId w:val="24"/>
  </w:num>
  <w:num w:numId="8">
    <w:abstractNumId w:val="10"/>
  </w:num>
  <w:num w:numId="9">
    <w:abstractNumId w:val="16"/>
  </w:num>
  <w:num w:numId="10">
    <w:abstractNumId w:val="17"/>
  </w:num>
  <w:num w:numId="11">
    <w:abstractNumId w:val="9"/>
  </w:num>
  <w:num w:numId="12">
    <w:abstractNumId w:val="2"/>
  </w:num>
  <w:num w:numId="13">
    <w:abstractNumId w:val="25"/>
  </w:num>
  <w:num w:numId="14">
    <w:abstractNumId w:val="30"/>
  </w:num>
  <w:num w:numId="15">
    <w:abstractNumId w:val="27"/>
  </w:num>
  <w:num w:numId="16">
    <w:abstractNumId w:val="0"/>
  </w:num>
  <w:num w:numId="17">
    <w:abstractNumId w:val="22"/>
  </w:num>
  <w:num w:numId="18">
    <w:abstractNumId w:val="20"/>
  </w:num>
  <w:num w:numId="19">
    <w:abstractNumId w:val="18"/>
  </w:num>
  <w:num w:numId="20">
    <w:abstractNumId w:val="15"/>
  </w:num>
  <w:num w:numId="21">
    <w:abstractNumId w:val="28"/>
  </w:num>
  <w:num w:numId="22">
    <w:abstractNumId w:val="4"/>
  </w:num>
  <w:num w:numId="23">
    <w:abstractNumId w:val="29"/>
  </w:num>
  <w:num w:numId="24">
    <w:abstractNumId w:val="21"/>
  </w:num>
  <w:num w:numId="25">
    <w:abstractNumId w:val="2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19"/>
  </w:num>
  <w:num w:numId="30">
    <w:abstractNumId w:val="5"/>
  </w:num>
  <w:num w:numId="31">
    <w:abstractNumId w:val="23"/>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409F8"/>
    <w:rsid w:val="00040E4D"/>
    <w:rsid w:val="00050240"/>
    <w:rsid w:val="00050E5B"/>
    <w:rsid w:val="00051C73"/>
    <w:rsid w:val="000540DC"/>
    <w:rsid w:val="00061DD8"/>
    <w:rsid w:val="000626C4"/>
    <w:rsid w:val="000627E5"/>
    <w:rsid w:val="000643A0"/>
    <w:rsid w:val="00066C4F"/>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16B0"/>
    <w:rsid w:val="000D27A7"/>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5F9A"/>
    <w:rsid w:val="00301C1B"/>
    <w:rsid w:val="00302886"/>
    <w:rsid w:val="003038E2"/>
    <w:rsid w:val="003068AA"/>
    <w:rsid w:val="0031084A"/>
    <w:rsid w:val="003109A0"/>
    <w:rsid w:val="003141D1"/>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54B5"/>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680"/>
    <w:rsid w:val="0052382E"/>
    <w:rsid w:val="005244BE"/>
    <w:rsid w:val="0052526B"/>
    <w:rsid w:val="0053064E"/>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A54EE"/>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032B"/>
    <w:rsid w:val="0078248F"/>
    <w:rsid w:val="00785F33"/>
    <w:rsid w:val="007862A5"/>
    <w:rsid w:val="007867ED"/>
    <w:rsid w:val="00787D80"/>
    <w:rsid w:val="007A0F0E"/>
    <w:rsid w:val="007A3D6E"/>
    <w:rsid w:val="007A57FA"/>
    <w:rsid w:val="007A5F44"/>
    <w:rsid w:val="007B01A2"/>
    <w:rsid w:val="007B09B5"/>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CC"/>
    <w:rsid w:val="008A342D"/>
    <w:rsid w:val="008B1B6C"/>
    <w:rsid w:val="008B7531"/>
    <w:rsid w:val="008B7A00"/>
    <w:rsid w:val="008B7A9D"/>
    <w:rsid w:val="008C4A76"/>
    <w:rsid w:val="008C4BDA"/>
    <w:rsid w:val="008E03F4"/>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11A1"/>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352B"/>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09DC"/>
    <w:rsid w:val="00DF15A1"/>
    <w:rsid w:val="00DF5BB0"/>
    <w:rsid w:val="00DF62B2"/>
    <w:rsid w:val="00DF647B"/>
    <w:rsid w:val="00DF6B9E"/>
    <w:rsid w:val="00DF7A2B"/>
    <w:rsid w:val="00E002FB"/>
    <w:rsid w:val="00E0341E"/>
    <w:rsid w:val="00E03459"/>
    <w:rsid w:val="00E03791"/>
    <w:rsid w:val="00E055B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4275"/>
    <w:rsid w:val="00F7605D"/>
    <w:rsid w:val="00F76A2D"/>
    <w:rsid w:val="00F772DC"/>
    <w:rsid w:val="00F800AA"/>
    <w:rsid w:val="00F82240"/>
    <w:rsid w:val="00F84EB0"/>
    <w:rsid w:val="00F85BE2"/>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F1FEF"/>
  <w15:docId w15:val="{B8FF5034-DA2A-4FB0-A671-45C61BF2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E071-E7B7-4032-BCD1-F48435E2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51374</Words>
  <Characters>292835</Characters>
  <Application>Microsoft Office Word</Application>
  <DocSecurity>0</DocSecurity>
  <Lines>2440</Lines>
  <Paragraphs>687</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2020-03-05T13:05:00Z</cp:lastPrinted>
  <dcterms:created xsi:type="dcterms:W3CDTF">2020-03-05T13:05:00Z</dcterms:created>
  <dcterms:modified xsi:type="dcterms:W3CDTF">2020-03-05T13:05:00Z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